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D5" w:rsidRPr="00121045" w:rsidRDefault="00121045" w:rsidP="00121045">
      <w:pPr>
        <w:jc w:val="center"/>
        <w:rPr>
          <w:b/>
          <w:sz w:val="28"/>
        </w:rPr>
      </w:pPr>
      <w:r w:rsidRPr="00121045">
        <w:rPr>
          <w:b/>
          <w:sz w:val="28"/>
        </w:rPr>
        <w:t>Non-Legislative Powers of Congress</w:t>
      </w:r>
    </w:p>
    <w:tbl>
      <w:tblPr>
        <w:tblW w:w="10206" w:type="dxa"/>
        <w:tblInd w:w="40" w:type="dxa"/>
        <w:tblCellMar>
          <w:left w:w="0" w:type="dxa"/>
          <w:right w:w="0" w:type="dxa"/>
        </w:tblCellMar>
        <w:tblLook w:val="04A0" w:firstRow="1" w:lastRow="0" w:firstColumn="1" w:lastColumn="0" w:noHBand="0" w:noVBand="1"/>
      </w:tblPr>
      <w:tblGrid>
        <w:gridCol w:w="1701"/>
        <w:gridCol w:w="2835"/>
        <w:gridCol w:w="2835"/>
        <w:gridCol w:w="2835"/>
      </w:tblGrid>
      <w:tr w:rsidR="00121045" w:rsidRPr="00121045" w:rsidTr="005E268B">
        <w:tc>
          <w:tcPr>
            <w:tcW w:w="1701"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b/>
                <w:sz w:val="24"/>
                <w:lang w:eastAsia="en-GB"/>
              </w:rPr>
            </w:pPr>
            <w:r w:rsidRPr="00121045">
              <w:rPr>
                <w:b/>
                <w:sz w:val="24"/>
                <w:lang w:eastAsia="en-GB"/>
              </w:rPr>
              <w:t>Power</w:t>
            </w:r>
          </w:p>
        </w:tc>
        <w:tc>
          <w:tcPr>
            <w:tcW w:w="2835" w:type="dxa"/>
            <w:tcBorders>
              <w:top w:val="single" w:sz="8" w:space="0" w:color="auto"/>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b/>
                <w:sz w:val="24"/>
                <w:lang w:eastAsia="en-GB"/>
              </w:rPr>
            </w:pPr>
            <w:r w:rsidRPr="00121045">
              <w:rPr>
                <w:b/>
                <w:sz w:val="24"/>
                <w:lang w:eastAsia="en-GB"/>
              </w:rPr>
              <w:t>Source of Power</w:t>
            </w:r>
          </w:p>
        </w:tc>
        <w:tc>
          <w:tcPr>
            <w:tcW w:w="2835" w:type="dxa"/>
            <w:tcBorders>
              <w:top w:val="single" w:sz="8" w:space="0" w:color="auto"/>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b/>
                <w:sz w:val="24"/>
                <w:lang w:eastAsia="en-GB"/>
              </w:rPr>
            </w:pPr>
            <w:r w:rsidRPr="00121045">
              <w:rPr>
                <w:b/>
                <w:sz w:val="24"/>
                <w:lang w:eastAsia="en-GB"/>
              </w:rPr>
              <w:t>House of Representatives</w:t>
            </w:r>
          </w:p>
        </w:tc>
        <w:tc>
          <w:tcPr>
            <w:tcW w:w="2835" w:type="dxa"/>
            <w:tcBorders>
              <w:top w:val="single" w:sz="8" w:space="0" w:color="auto"/>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b/>
                <w:sz w:val="24"/>
                <w:lang w:eastAsia="en-GB"/>
              </w:rPr>
            </w:pPr>
            <w:r w:rsidRPr="00121045">
              <w:rPr>
                <w:b/>
                <w:sz w:val="24"/>
                <w:lang w:eastAsia="en-GB"/>
              </w:rPr>
              <w:t>Senate</w:t>
            </w:r>
          </w:p>
        </w:tc>
      </w:tr>
      <w:tr w:rsidR="00121045" w:rsidRPr="00121045" w:rsidTr="005E268B">
        <w:tc>
          <w:tcPr>
            <w:tcW w:w="1701" w:type="dxa"/>
            <w:tcBorders>
              <w:top w:val="nil"/>
              <w:left w:val="single" w:sz="8" w:space="0" w:color="auto"/>
              <w:bottom w:val="single" w:sz="8" w:space="0" w:color="auto"/>
              <w:right w:val="single" w:sz="8" w:space="0" w:color="auto"/>
            </w:tcBorders>
            <w:tcMar>
              <w:top w:w="40" w:type="dxa"/>
              <w:left w:w="40" w:type="dxa"/>
              <w:bottom w:w="40" w:type="dxa"/>
              <w:right w:w="40" w:type="dxa"/>
            </w:tcMar>
            <w:vAlign w:val="center"/>
            <w:hideMark/>
          </w:tcPr>
          <w:p w:rsidR="00121045" w:rsidRPr="00121045" w:rsidRDefault="00121045" w:rsidP="005E268B">
            <w:pPr>
              <w:pStyle w:val="NoSpacing"/>
              <w:jc w:val="center"/>
              <w:rPr>
                <w:rFonts w:ascii="Calibri" w:hAnsi="Calibri" w:cs="Times New Roman"/>
                <w:b/>
                <w:sz w:val="24"/>
                <w:lang w:eastAsia="en-GB"/>
              </w:rPr>
            </w:pPr>
            <w:r w:rsidRPr="00121045">
              <w:rPr>
                <w:b/>
                <w:sz w:val="24"/>
                <w:lang w:eastAsia="en-GB"/>
              </w:rPr>
              <w:t>Power to appoint the president and vice president</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 Twelfth Amendment</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Twentieth Amendment, Sections 3 and 4</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Twenty-fifth Amendment, Section 2</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Twelfth Amendment</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A joint session of Congress counts the Electoral College votes.</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If no presidential candidate has a majority, House selects from top three candidates.</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Twentieth Amendment</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House and Senate together pass legislation to deal with the death of a presidential or vice presidential candidate if the person died before taking office.</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Twenty-fifth Amendment</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A majority vote of House and Senate must approve a nominee to replace a vice president who died or resigned.</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Twelfth Amendment</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A joint session of Congress counts the Electoral College votes.</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If no vice presidential candidate has a majority, Senate selects from top two candidates.</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Twentieth Amendment</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House and Senate together pass legislation to deal with the death of a presidential or vice presidential candidate if the person died before taking office.</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Twenty-fifth Amendment</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A majority vote of House and Senate must approve a nominee to replace a vice president who died or resigned.</w:t>
            </w:r>
          </w:p>
          <w:p w:rsidR="00121045" w:rsidRPr="00121045" w:rsidRDefault="00121045" w:rsidP="005E268B">
            <w:pPr>
              <w:pStyle w:val="NoSpacing"/>
              <w:rPr>
                <w:rFonts w:ascii="Calibri" w:hAnsi="Calibri" w:cs="Times New Roman"/>
                <w:lang w:eastAsia="en-GB"/>
              </w:rPr>
            </w:pPr>
          </w:p>
        </w:tc>
      </w:tr>
      <w:tr w:rsidR="00121045" w:rsidRPr="00121045" w:rsidTr="005E268B">
        <w:tc>
          <w:tcPr>
            <w:tcW w:w="1701" w:type="dxa"/>
            <w:tcBorders>
              <w:top w:val="nil"/>
              <w:left w:val="single" w:sz="8" w:space="0" w:color="auto"/>
              <w:bottom w:val="single" w:sz="8" w:space="0" w:color="auto"/>
              <w:right w:val="single" w:sz="8" w:space="0" w:color="auto"/>
            </w:tcBorders>
            <w:tcMar>
              <w:top w:w="40" w:type="dxa"/>
              <w:left w:w="40" w:type="dxa"/>
              <w:bottom w:w="40" w:type="dxa"/>
              <w:right w:w="40" w:type="dxa"/>
            </w:tcMar>
            <w:vAlign w:val="center"/>
            <w:hideMark/>
          </w:tcPr>
          <w:p w:rsidR="00121045" w:rsidRPr="00121045" w:rsidRDefault="00121045" w:rsidP="005E268B">
            <w:pPr>
              <w:pStyle w:val="NoSpacing"/>
              <w:jc w:val="center"/>
              <w:rPr>
                <w:rFonts w:ascii="Calibri" w:hAnsi="Calibri" w:cs="Times New Roman"/>
                <w:b/>
                <w:sz w:val="24"/>
                <w:lang w:eastAsia="en-GB"/>
              </w:rPr>
            </w:pPr>
            <w:r w:rsidRPr="00121045">
              <w:rPr>
                <w:b/>
                <w:sz w:val="24"/>
                <w:lang w:eastAsia="en-GB"/>
              </w:rPr>
              <w:t>Power to remove a federal official from office, including federal judges</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 Article II, Section 2, Clause 5: the House</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Article I, Section 3, Clause 6: the Senate</w:t>
            </w:r>
          </w:p>
          <w:p w:rsidR="00121045" w:rsidRPr="00121045" w:rsidRDefault="00121045" w:rsidP="005E268B">
            <w:pPr>
              <w:pStyle w:val="NoSpacing"/>
              <w:rPr>
                <w:rFonts w:ascii="Calibri" w:hAnsi="Calibri" w:cs="Times New Roman"/>
                <w:lang w:eastAsia="en-GB"/>
              </w:rPr>
            </w:pP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The House impeaches a federal official. This means the House finds enough evidence of wrongdoing to turn the official over to the Senate for trial.</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The Senate tries the impeached official. If found guilty, the person is removed from office.</w:t>
            </w:r>
            <w:r>
              <w:rPr>
                <w:lang w:eastAsia="en-GB"/>
              </w:rPr>
              <w:br/>
            </w:r>
            <w:r>
              <w:rPr>
                <w:lang w:eastAsia="en-GB"/>
              </w:rPr>
              <w:br/>
            </w:r>
            <w:r>
              <w:rPr>
                <w:lang w:eastAsia="en-GB"/>
              </w:rPr>
              <w:br/>
            </w:r>
          </w:p>
        </w:tc>
      </w:tr>
      <w:tr w:rsidR="00121045" w:rsidRPr="00121045" w:rsidTr="005E268B">
        <w:tc>
          <w:tcPr>
            <w:tcW w:w="1701" w:type="dxa"/>
            <w:tcBorders>
              <w:top w:val="nil"/>
              <w:left w:val="single" w:sz="8" w:space="0" w:color="auto"/>
              <w:bottom w:val="single" w:sz="8" w:space="0" w:color="auto"/>
              <w:right w:val="single" w:sz="8" w:space="0" w:color="auto"/>
            </w:tcBorders>
            <w:tcMar>
              <w:top w:w="40" w:type="dxa"/>
              <w:left w:w="40" w:type="dxa"/>
              <w:bottom w:w="40" w:type="dxa"/>
              <w:right w:w="40" w:type="dxa"/>
            </w:tcMar>
            <w:vAlign w:val="center"/>
            <w:hideMark/>
          </w:tcPr>
          <w:p w:rsidR="00121045" w:rsidRPr="00121045" w:rsidRDefault="00121045" w:rsidP="005E268B">
            <w:pPr>
              <w:pStyle w:val="NoSpacing"/>
              <w:jc w:val="center"/>
              <w:rPr>
                <w:rFonts w:ascii="Calibri" w:hAnsi="Calibri" w:cs="Times New Roman"/>
                <w:b/>
                <w:sz w:val="24"/>
                <w:lang w:eastAsia="en-GB"/>
              </w:rPr>
            </w:pPr>
            <w:r w:rsidRPr="00121045">
              <w:rPr>
                <w:b/>
                <w:sz w:val="24"/>
                <w:lang w:eastAsia="en-GB"/>
              </w:rPr>
              <w:t>Power to confirm federal nominees</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 Article II, Section 2, Clause 2</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No responsibilities</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Senate must confirm presidential nominees for the</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heads of executive departments and their highest level of assistants</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xml:space="preserve">• </w:t>
            </w:r>
            <w:proofErr w:type="gramStart"/>
            <w:r w:rsidRPr="00121045">
              <w:rPr>
                <w:lang w:eastAsia="en-GB"/>
              </w:rPr>
              <w:t>heads</w:t>
            </w:r>
            <w:proofErr w:type="gramEnd"/>
            <w:r w:rsidRPr="00121045">
              <w:rPr>
                <w:lang w:eastAsia="en-GB"/>
              </w:rPr>
              <w:t xml:space="preserve"> of regulatory agencies.</w:t>
            </w:r>
          </w:p>
          <w:p w:rsidR="00121045" w:rsidRPr="00121045" w:rsidRDefault="00121045" w:rsidP="005E268B">
            <w:pPr>
              <w:pStyle w:val="NoSpacing"/>
              <w:rPr>
                <w:rFonts w:ascii="Calibri" w:hAnsi="Calibri" w:cs="Times New Roman"/>
                <w:lang w:eastAsia="en-GB"/>
              </w:rPr>
            </w:pPr>
            <w:r w:rsidRPr="00121045">
              <w:rPr>
                <w:lang w:eastAsia="en-GB"/>
              </w:rPr>
              <w:t xml:space="preserve">• </w:t>
            </w:r>
            <w:proofErr w:type="gramStart"/>
            <w:r w:rsidRPr="00121045">
              <w:rPr>
                <w:lang w:eastAsia="en-GB"/>
              </w:rPr>
              <w:t>federal</w:t>
            </w:r>
            <w:proofErr w:type="gramEnd"/>
            <w:r w:rsidRPr="00121045">
              <w:rPr>
                <w:lang w:eastAsia="en-GB"/>
              </w:rPr>
              <w:t xml:space="preserve"> judges.</w:t>
            </w:r>
          </w:p>
          <w:p w:rsidR="00121045" w:rsidRPr="00121045" w:rsidRDefault="00121045" w:rsidP="005E268B">
            <w:pPr>
              <w:pStyle w:val="NoSpacing"/>
              <w:rPr>
                <w:rFonts w:ascii="Calibri" w:hAnsi="Calibri" w:cs="Times New Roman"/>
                <w:lang w:eastAsia="en-GB"/>
              </w:rPr>
            </w:pPr>
            <w:r w:rsidRPr="00121045">
              <w:rPr>
                <w:lang w:eastAsia="en-GB"/>
              </w:rPr>
              <w:t xml:space="preserve">• </w:t>
            </w:r>
            <w:proofErr w:type="gramStart"/>
            <w:r w:rsidRPr="00121045">
              <w:rPr>
                <w:lang w:eastAsia="en-GB"/>
              </w:rPr>
              <w:t>major</w:t>
            </w:r>
            <w:proofErr w:type="gramEnd"/>
            <w:r w:rsidRPr="00121045">
              <w:rPr>
                <w:lang w:eastAsia="en-GB"/>
              </w:rPr>
              <w:t xml:space="preserve"> diplomatic positions.</w:t>
            </w:r>
          </w:p>
          <w:p w:rsidR="00121045" w:rsidRPr="00121045" w:rsidRDefault="00121045" w:rsidP="005E268B">
            <w:pPr>
              <w:pStyle w:val="NoSpacing"/>
              <w:rPr>
                <w:rFonts w:ascii="Calibri" w:hAnsi="Calibri" w:cs="Times New Roman"/>
                <w:lang w:eastAsia="en-GB"/>
              </w:rPr>
            </w:pPr>
            <w:r w:rsidRPr="00121045">
              <w:rPr>
                <w:lang w:eastAsia="en-GB"/>
              </w:rPr>
              <w:t xml:space="preserve">• </w:t>
            </w:r>
            <w:proofErr w:type="gramStart"/>
            <w:r w:rsidRPr="00121045">
              <w:rPr>
                <w:lang w:eastAsia="en-GB"/>
              </w:rPr>
              <w:t>major</w:t>
            </w:r>
            <w:proofErr w:type="gramEnd"/>
            <w:r w:rsidRPr="00121045">
              <w:rPr>
                <w:lang w:eastAsia="en-GB"/>
              </w:rPr>
              <w:t xml:space="preserve"> military positions.</w:t>
            </w:r>
            <w:r>
              <w:rPr>
                <w:lang w:eastAsia="en-GB"/>
              </w:rPr>
              <w:br/>
            </w:r>
            <w:r>
              <w:rPr>
                <w:lang w:eastAsia="en-GB"/>
              </w:rPr>
              <w:br/>
            </w:r>
          </w:p>
        </w:tc>
      </w:tr>
      <w:tr w:rsidR="00121045" w:rsidRPr="00121045" w:rsidTr="005E268B">
        <w:tc>
          <w:tcPr>
            <w:tcW w:w="1701" w:type="dxa"/>
            <w:tcBorders>
              <w:top w:val="nil"/>
              <w:left w:val="single" w:sz="8" w:space="0" w:color="auto"/>
              <w:bottom w:val="single" w:sz="8" w:space="0" w:color="auto"/>
              <w:right w:val="single" w:sz="8" w:space="0" w:color="auto"/>
            </w:tcBorders>
            <w:tcMar>
              <w:top w:w="40" w:type="dxa"/>
              <w:left w:w="40" w:type="dxa"/>
              <w:bottom w:w="40" w:type="dxa"/>
              <w:right w:w="40" w:type="dxa"/>
            </w:tcMar>
            <w:vAlign w:val="center"/>
            <w:hideMark/>
          </w:tcPr>
          <w:p w:rsidR="00121045" w:rsidRPr="00121045" w:rsidRDefault="00121045" w:rsidP="005E268B">
            <w:pPr>
              <w:pStyle w:val="NoSpacing"/>
              <w:jc w:val="center"/>
              <w:rPr>
                <w:rFonts w:ascii="Calibri" w:hAnsi="Calibri" w:cs="Times New Roman"/>
                <w:b/>
                <w:sz w:val="24"/>
                <w:lang w:eastAsia="en-GB"/>
              </w:rPr>
            </w:pPr>
            <w:r w:rsidRPr="00121045">
              <w:rPr>
                <w:b/>
                <w:sz w:val="24"/>
                <w:lang w:eastAsia="en-GB"/>
              </w:rPr>
              <w:lastRenderedPageBreak/>
              <w:t>Power to ratify treaties</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 Article II, Section 2, Clause 2</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No responsibilities</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 Senate must approve any treaty with another nation by a two-thirds vote.</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tc>
      </w:tr>
      <w:tr w:rsidR="00121045" w:rsidRPr="00121045" w:rsidTr="005E268B">
        <w:tc>
          <w:tcPr>
            <w:tcW w:w="1701" w:type="dxa"/>
            <w:tcBorders>
              <w:top w:val="nil"/>
              <w:left w:val="single" w:sz="8" w:space="0" w:color="auto"/>
              <w:bottom w:val="single" w:sz="8" w:space="0" w:color="auto"/>
              <w:right w:val="single" w:sz="8" w:space="0" w:color="auto"/>
            </w:tcBorders>
            <w:tcMar>
              <w:top w:w="40" w:type="dxa"/>
              <w:left w:w="40" w:type="dxa"/>
              <w:bottom w:w="40" w:type="dxa"/>
              <w:right w:w="40" w:type="dxa"/>
            </w:tcMar>
            <w:vAlign w:val="center"/>
            <w:hideMark/>
          </w:tcPr>
          <w:p w:rsidR="00121045" w:rsidRPr="00121045" w:rsidRDefault="00121045" w:rsidP="005E268B">
            <w:pPr>
              <w:pStyle w:val="NoSpacing"/>
              <w:jc w:val="center"/>
              <w:rPr>
                <w:rFonts w:ascii="Calibri" w:hAnsi="Calibri" w:cs="Times New Roman"/>
                <w:b/>
                <w:sz w:val="24"/>
                <w:lang w:eastAsia="en-GB"/>
              </w:rPr>
            </w:pPr>
            <w:r w:rsidRPr="00121045">
              <w:rPr>
                <w:b/>
                <w:sz w:val="24"/>
                <w:lang w:eastAsia="en-GB"/>
              </w:rPr>
              <w:t>Power to propose amendments to the Constitution</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 Article V</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 This power is shared with the Senate.</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The House must propose an amendment by a two-thirds vote.</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w:t>
            </w:r>
          </w:p>
        </w:tc>
        <w:tc>
          <w:tcPr>
            <w:tcW w:w="2835" w:type="dxa"/>
            <w:tcBorders>
              <w:top w:val="nil"/>
              <w:left w:val="nil"/>
              <w:bottom w:val="single" w:sz="8" w:space="0" w:color="auto"/>
              <w:right w:val="single" w:sz="8" w:space="0" w:color="auto"/>
            </w:tcBorders>
            <w:tcMar>
              <w:top w:w="40" w:type="dxa"/>
              <w:left w:w="40" w:type="dxa"/>
              <w:bottom w:w="40" w:type="dxa"/>
              <w:right w:w="40" w:type="dxa"/>
            </w:tcMar>
            <w:hideMark/>
          </w:tcPr>
          <w:p w:rsidR="00121045" w:rsidRPr="00121045" w:rsidRDefault="00121045" w:rsidP="005E268B">
            <w:pPr>
              <w:pStyle w:val="NoSpacing"/>
              <w:rPr>
                <w:rFonts w:ascii="Calibri" w:hAnsi="Calibri" w:cs="Times New Roman"/>
                <w:lang w:eastAsia="en-GB"/>
              </w:rPr>
            </w:pPr>
            <w:r w:rsidRPr="00121045">
              <w:rPr>
                <w:lang w:eastAsia="en-GB"/>
              </w:rPr>
              <w:t>• This power is shared with the House.</w:t>
            </w:r>
          </w:p>
          <w:p w:rsidR="00121045" w:rsidRPr="00121045" w:rsidRDefault="00121045" w:rsidP="005E268B">
            <w:pPr>
              <w:pStyle w:val="NoSpacing"/>
              <w:rPr>
                <w:rFonts w:ascii="Calibri" w:hAnsi="Calibri" w:cs="Times New Roman"/>
                <w:lang w:eastAsia="en-GB"/>
              </w:rPr>
            </w:pPr>
            <w:r w:rsidRPr="00121045">
              <w:rPr>
                <w:lang w:eastAsia="en-GB"/>
              </w:rPr>
              <w:t> </w:t>
            </w:r>
          </w:p>
          <w:p w:rsidR="00121045" w:rsidRPr="00121045" w:rsidRDefault="00121045" w:rsidP="005E268B">
            <w:pPr>
              <w:pStyle w:val="NoSpacing"/>
              <w:rPr>
                <w:rFonts w:ascii="Calibri" w:hAnsi="Calibri" w:cs="Times New Roman"/>
                <w:lang w:eastAsia="en-GB"/>
              </w:rPr>
            </w:pPr>
            <w:r w:rsidRPr="00121045">
              <w:rPr>
                <w:lang w:eastAsia="en-GB"/>
              </w:rPr>
              <w:t>• The Senate must propose an amendment by a two-thirds vote.</w:t>
            </w:r>
          </w:p>
          <w:p w:rsidR="00121045" w:rsidRPr="00121045" w:rsidRDefault="00121045" w:rsidP="005E268B">
            <w:pPr>
              <w:pStyle w:val="NoSpacing"/>
              <w:rPr>
                <w:rFonts w:ascii="Calibri" w:hAnsi="Calibri" w:cs="Times New Roman"/>
                <w:lang w:eastAsia="en-GB"/>
              </w:rPr>
            </w:pPr>
          </w:p>
        </w:tc>
      </w:tr>
    </w:tbl>
    <w:p w:rsidR="00121045" w:rsidRDefault="00121045"/>
    <w:p w:rsidR="00000000" w:rsidRPr="004B204D" w:rsidRDefault="004B204D" w:rsidP="004B204D">
      <w:pPr>
        <w:numPr>
          <w:ilvl w:val="0"/>
          <w:numId w:val="1"/>
        </w:numPr>
      </w:pPr>
      <w:r w:rsidRPr="004B204D">
        <w:t>The House has only had to choose a president twice. In 1800, they chose Thomas Jefferson, and in 1824, they chose John Quincy Adams.</w:t>
      </w:r>
    </w:p>
    <w:p w:rsidR="00000000" w:rsidRPr="004B204D" w:rsidRDefault="004B204D" w:rsidP="004B204D">
      <w:pPr>
        <w:numPr>
          <w:ilvl w:val="0"/>
          <w:numId w:val="1"/>
        </w:numPr>
      </w:pPr>
      <w:r w:rsidRPr="004B204D">
        <w:t>In 1973, Congress confirmed Gerald Ford as vice president. He succeeded Spiro Agnew, who had resigned. Then, in 1974, Congress confirmed Nelson Rockefeller as vice president. He replaced Fo</w:t>
      </w:r>
      <w:r w:rsidRPr="004B204D">
        <w:t>rd, who had become president when Richard Nixon resigned the presidency.</w:t>
      </w:r>
    </w:p>
    <w:p w:rsidR="00000000" w:rsidRPr="004B204D" w:rsidRDefault="004B204D" w:rsidP="004B204D">
      <w:pPr>
        <w:numPr>
          <w:ilvl w:val="0"/>
          <w:numId w:val="1"/>
        </w:numPr>
      </w:pPr>
      <w:r w:rsidRPr="004B204D">
        <w:t>In 2005, the Senate held confirmation hearings for the appointment of Alberto Gonzales as Attorney General.</w:t>
      </w:r>
    </w:p>
    <w:p w:rsidR="00000000" w:rsidRPr="004B204D" w:rsidRDefault="004B204D" w:rsidP="004B204D">
      <w:pPr>
        <w:numPr>
          <w:ilvl w:val="0"/>
          <w:numId w:val="1"/>
        </w:numPr>
      </w:pPr>
      <w:r w:rsidRPr="004B204D">
        <w:t xml:space="preserve">Since 1789, the House has impeached 17 federal judges, and the Senate has convicted seven. Congress has also impeached and tried two presidents, Andrew Johnson in 1868 and Bill Clinton in 1998. Both </w:t>
      </w:r>
      <w:r w:rsidRPr="004B204D">
        <w:t>were acquitted.</w:t>
      </w:r>
    </w:p>
    <w:p w:rsidR="00000000" w:rsidRPr="004B204D" w:rsidRDefault="004B204D" w:rsidP="004B204D">
      <w:pPr>
        <w:numPr>
          <w:ilvl w:val="0"/>
          <w:numId w:val="1"/>
        </w:numPr>
      </w:pPr>
      <w:r w:rsidRPr="004B204D">
        <w:t>Confirmation power over presidential appointees belongs to the Senate alone. The Secretary of State and the Attorney General of the United States are examples of the heads of</w:t>
      </w:r>
      <w:r w:rsidRPr="004B204D">
        <w:t xml:space="preserve"> executive departments who are appointed. The Senate’s confirmation duties also include approving justices to the U.S. Supreme Court, some diplomats, and some top-level military positions.</w:t>
      </w:r>
    </w:p>
    <w:p w:rsidR="00000000" w:rsidRPr="004B204D" w:rsidRDefault="004B204D" w:rsidP="004B204D">
      <w:pPr>
        <w:numPr>
          <w:ilvl w:val="0"/>
          <w:numId w:val="1"/>
        </w:numPr>
      </w:pPr>
      <w:r w:rsidRPr="004B204D">
        <w:t>T</w:t>
      </w:r>
      <w:r w:rsidRPr="004B204D">
        <w:t>he executive branch has the responsibility to make treaties. The Senate alone has the power to ratify, or approve, treaties. This is part of the system of checks and balances.</w:t>
      </w:r>
    </w:p>
    <w:p w:rsidR="004B204D" w:rsidRDefault="004B204D">
      <w:bookmarkStart w:id="0" w:name="_GoBack"/>
      <w:bookmarkEnd w:id="0"/>
    </w:p>
    <w:sectPr w:rsidR="004B204D" w:rsidSect="001210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E6B09"/>
    <w:multiLevelType w:val="hybridMultilevel"/>
    <w:tmpl w:val="0AD840AA"/>
    <w:lvl w:ilvl="0" w:tplc="0E32EC5C">
      <w:start w:val="1"/>
      <w:numFmt w:val="bullet"/>
      <w:lvlText w:val="•"/>
      <w:lvlJc w:val="left"/>
      <w:pPr>
        <w:tabs>
          <w:tab w:val="num" w:pos="720"/>
        </w:tabs>
        <w:ind w:left="720" w:hanging="360"/>
      </w:pPr>
      <w:rPr>
        <w:rFonts w:ascii="Arial" w:hAnsi="Arial" w:hint="default"/>
      </w:rPr>
    </w:lvl>
    <w:lvl w:ilvl="1" w:tplc="02F481B2" w:tentative="1">
      <w:start w:val="1"/>
      <w:numFmt w:val="bullet"/>
      <w:lvlText w:val="•"/>
      <w:lvlJc w:val="left"/>
      <w:pPr>
        <w:tabs>
          <w:tab w:val="num" w:pos="1440"/>
        </w:tabs>
        <w:ind w:left="1440" w:hanging="360"/>
      </w:pPr>
      <w:rPr>
        <w:rFonts w:ascii="Arial" w:hAnsi="Arial" w:hint="default"/>
      </w:rPr>
    </w:lvl>
    <w:lvl w:ilvl="2" w:tplc="F4C86096" w:tentative="1">
      <w:start w:val="1"/>
      <w:numFmt w:val="bullet"/>
      <w:lvlText w:val="•"/>
      <w:lvlJc w:val="left"/>
      <w:pPr>
        <w:tabs>
          <w:tab w:val="num" w:pos="2160"/>
        </w:tabs>
        <w:ind w:left="2160" w:hanging="360"/>
      </w:pPr>
      <w:rPr>
        <w:rFonts w:ascii="Arial" w:hAnsi="Arial" w:hint="default"/>
      </w:rPr>
    </w:lvl>
    <w:lvl w:ilvl="3" w:tplc="B6046E40" w:tentative="1">
      <w:start w:val="1"/>
      <w:numFmt w:val="bullet"/>
      <w:lvlText w:val="•"/>
      <w:lvlJc w:val="left"/>
      <w:pPr>
        <w:tabs>
          <w:tab w:val="num" w:pos="2880"/>
        </w:tabs>
        <w:ind w:left="2880" w:hanging="360"/>
      </w:pPr>
      <w:rPr>
        <w:rFonts w:ascii="Arial" w:hAnsi="Arial" w:hint="default"/>
      </w:rPr>
    </w:lvl>
    <w:lvl w:ilvl="4" w:tplc="F9106DA4" w:tentative="1">
      <w:start w:val="1"/>
      <w:numFmt w:val="bullet"/>
      <w:lvlText w:val="•"/>
      <w:lvlJc w:val="left"/>
      <w:pPr>
        <w:tabs>
          <w:tab w:val="num" w:pos="3600"/>
        </w:tabs>
        <w:ind w:left="3600" w:hanging="360"/>
      </w:pPr>
      <w:rPr>
        <w:rFonts w:ascii="Arial" w:hAnsi="Arial" w:hint="default"/>
      </w:rPr>
    </w:lvl>
    <w:lvl w:ilvl="5" w:tplc="8D9284A8" w:tentative="1">
      <w:start w:val="1"/>
      <w:numFmt w:val="bullet"/>
      <w:lvlText w:val="•"/>
      <w:lvlJc w:val="left"/>
      <w:pPr>
        <w:tabs>
          <w:tab w:val="num" w:pos="4320"/>
        </w:tabs>
        <w:ind w:left="4320" w:hanging="360"/>
      </w:pPr>
      <w:rPr>
        <w:rFonts w:ascii="Arial" w:hAnsi="Arial" w:hint="default"/>
      </w:rPr>
    </w:lvl>
    <w:lvl w:ilvl="6" w:tplc="8E26BFDA" w:tentative="1">
      <w:start w:val="1"/>
      <w:numFmt w:val="bullet"/>
      <w:lvlText w:val="•"/>
      <w:lvlJc w:val="left"/>
      <w:pPr>
        <w:tabs>
          <w:tab w:val="num" w:pos="5040"/>
        </w:tabs>
        <w:ind w:left="5040" w:hanging="360"/>
      </w:pPr>
      <w:rPr>
        <w:rFonts w:ascii="Arial" w:hAnsi="Arial" w:hint="default"/>
      </w:rPr>
    </w:lvl>
    <w:lvl w:ilvl="7" w:tplc="B140868C" w:tentative="1">
      <w:start w:val="1"/>
      <w:numFmt w:val="bullet"/>
      <w:lvlText w:val="•"/>
      <w:lvlJc w:val="left"/>
      <w:pPr>
        <w:tabs>
          <w:tab w:val="num" w:pos="5760"/>
        </w:tabs>
        <w:ind w:left="5760" w:hanging="360"/>
      </w:pPr>
      <w:rPr>
        <w:rFonts w:ascii="Arial" w:hAnsi="Arial" w:hint="default"/>
      </w:rPr>
    </w:lvl>
    <w:lvl w:ilvl="8" w:tplc="27B4974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45"/>
    <w:rsid w:val="00121045"/>
    <w:rsid w:val="004066CF"/>
    <w:rsid w:val="004B204D"/>
    <w:rsid w:val="0064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0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55891">
      <w:bodyDiv w:val="1"/>
      <w:marLeft w:val="0"/>
      <w:marRight w:val="0"/>
      <w:marTop w:val="0"/>
      <w:marBottom w:val="0"/>
      <w:divBdr>
        <w:top w:val="none" w:sz="0" w:space="0" w:color="auto"/>
        <w:left w:val="none" w:sz="0" w:space="0" w:color="auto"/>
        <w:bottom w:val="none" w:sz="0" w:space="0" w:color="auto"/>
        <w:right w:val="none" w:sz="0" w:space="0" w:color="auto"/>
      </w:divBdr>
      <w:divsChild>
        <w:div w:id="1262565157">
          <w:marLeft w:val="547"/>
          <w:marRight w:val="0"/>
          <w:marTop w:val="86"/>
          <w:marBottom w:val="0"/>
          <w:divBdr>
            <w:top w:val="none" w:sz="0" w:space="0" w:color="auto"/>
            <w:left w:val="none" w:sz="0" w:space="0" w:color="auto"/>
            <w:bottom w:val="none" w:sz="0" w:space="0" w:color="auto"/>
            <w:right w:val="none" w:sz="0" w:space="0" w:color="auto"/>
          </w:divBdr>
        </w:div>
        <w:div w:id="1940598105">
          <w:marLeft w:val="547"/>
          <w:marRight w:val="0"/>
          <w:marTop w:val="86"/>
          <w:marBottom w:val="0"/>
          <w:divBdr>
            <w:top w:val="none" w:sz="0" w:space="0" w:color="auto"/>
            <w:left w:val="none" w:sz="0" w:space="0" w:color="auto"/>
            <w:bottom w:val="none" w:sz="0" w:space="0" w:color="auto"/>
            <w:right w:val="none" w:sz="0" w:space="0" w:color="auto"/>
          </w:divBdr>
        </w:div>
        <w:div w:id="314919075">
          <w:marLeft w:val="547"/>
          <w:marRight w:val="0"/>
          <w:marTop w:val="86"/>
          <w:marBottom w:val="0"/>
          <w:divBdr>
            <w:top w:val="none" w:sz="0" w:space="0" w:color="auto"/>
            <w:left w:val="none" w:sz="0" w:space="0" w:color="auto"/>
            <w:bottom w:val="none" w:sz="0" w:space="0" w:color="auto"/>
            <w:right w:val="none" w:sz="0" w:space="0" w:color="auto"/>
          </w:divBdr>
        </w:div>
        <w:div w:id="830411052">
          <w:marLeft w:val="547"/>
          <w:marRight w:val="0"/>
          <w:marTop w:val="86"/>
          <w:marBottom w:val="0"/>
          <w:divBdr>
            <w:top w:val="none" w:sz="0" w:space="0" w:color="auto"/>
            <w:left w:val="none" w:sz="0" w:space="0" w:color="auto"/>
            <w:bottom w:val="none" w:sz="0" w:space="0" w:color="auto"/>
            <w:right w:val="none" w:sz="0" w:space="0" w:color="auto"/>
          </w:divBdr>
        </w:div>
        <w:div w:id="1057317487">
          <w:marLeft w:val="547"/>
          <w:marRight w:val="0"/>
          <w:marTop w:val="86"/>
          <w:marBottom w:val="0"/>
          <w:divBdr>
            <w:top w:val="none" w:sz="0" w:space="0" w:color="auto"/>
            <w:left w:val="none" w:sz="0" w:space="0" w:color="auto"/>
            <w:bottom w:val="none" w:sz="0" w:space="0" w:color="auto"/>
            <w:right w:val="none" w:sz="0" w:space="0" w:color="auto"/>
          </w:divBdr>
        </w:div>
        <w:div w:id="847213073">
          <w:marLeft w:val="547"/>
          <w:marRight w:val="0"/>
          <w:marTop w:val="86"/>
          <w:marBottom w:val="0"/>
          <w:divBdr>
            <w:top w:val="none" w:sz="0" w:space="0" w:color="auto"/>
            <w:left w:val="none" w:sz="0" w:space="0" w:color="auto"/>
            <w:bottom w:val="none" w:sz="0" w:space="0" w:color="auto"/>
            <w:right w:val="none" w:sz="0" w:space="0" w:color="auto"/>
          </w:divBdr>
        </w:div>
      </w:divsChild>
    </w:div>
    <w:div w:id="20776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2</cp:revision>
  <dcterms:created xsi:type="dcterms:W3CDTF">2017-08-03T11:04:00Z</dcterms:created>
  <dcterms:modified xsi:type="dcterms:W3CDTF">2017-08-03T11:11:00Z</dcterms:modified>
</cp:coreProperties>
</file>